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jpeg" ContentType="image/jpe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spacing w:before="14"/>
        <w:ind w:left="1206" w:right="0" w:firstLine="0"/>
        <w:jc w:val="left"/>
        <w:rPr>
          <w:b/>
          <w:sz w:val="28"/>
        </w:rPr>
      </w:pPr>
      <w:r>
        <w:rPr>
          <w:b/>
          <w:sz w:val="28"/>
        </w:rPr>
        <w:drawing>
          <wp:anchor distT="0" distB="0" distL="0" distR="0" allowOverlap="1" layoutInCell="1" locked="0" behindDoc="0" simplePos="0" relativeHeight="15728640">
            <wp:simplePos x="0" y="0"/>
            <wp:positionH relativeFrom="page">
              <wp:posOffset>651509</wp:posOffset>
            </wp:positionH>
            <wp:positionV relativeFrom="paragraph">
              <wp:posOffset>28321</wp:posOffset>
            </wp:positionV>
            <wp:extent cx="629920" cy="742315"/>
            <wp:effectExtent l="0" t="0" r="0" b="0"/>
            <wp:wrapNone/>
            <wp:docPr id="2" name="Image 2" descr="LEAF"/>
            <wp:cNvGraphicFramePr>
              <a:graphicFrameLocks/>
            </wp:cNvGraphicFramePr>
            <a:graphic>
              <a:graphicData uri="http://schemas.openxmlformats.org/drawingml/2006/picture">
                <pic:pic>
                  <pic:nvPicPr>
                    <pic:cNvPr id="2" name="Image 2" descr="LEAF"/>
                    <pic:cNvPicPr/>
                  </pic:nvPicPr>
                  <pic:blipFill>
                    <a:blip r:embed="rId6" cstate="print"/>
                    <a:stretch>
                      <a:fillRect/>
                    </a:stretch>
                  </pic:blipFill>
                  <pic:spPr>
                    <a:xfrm>
                      <a:off x="0" y="0"/>
                      <a:ext cx="629920" cy="742315"/>
                    </a:xfrm>
                    <a:prstGeom prst="rect">
                      <a:avLst/>
                    </a:prstGeom>
                  </pic:spPr>
                </pic:pic>
              </a:graphicData>
            </a:graphic>
          </wp:anchor>
        </w:drawing>
      </w:r>
      <w:r>
        <w:rPr>
          <w:b/>
          <w:sz w:val="28"/>
        </w:rPr>
        <w:t>ΠΕΡΙΦΕΡΕΙΑΚΟΣ</w:t>
      </w:r>
      <w:r>
        <w:rPr>
          <w:b/>
          <w:spacing w:val="-9"/>
          <w:sz w:val="28"/>
        </w:rPr>
        <w:t> </w:t>
      </w:r>
      <w:r>
        <w:rPr>
          <w:b/>
          <w:spacing w:val="-2"/>
          <w:sz w:val="28"/>
        </w:rPr>
        <w:t>ΦΟΡΕΑΣ</w:t>
      </w:r>
    </w:p>
    <w:p>
      <w:pPr>
        <w:spacing w:before="2"/>
        <w:ind w:left="1206" w:right="3257" w:firstLine="0"/>
        <w:jc w:val="left"/>
        <w:rPr>
          <w:b/>
          <w:sz w:val="28"/>
        </w:rPr>
      </w:pPr>
      <w:r>
        <w:rPr>
          <w:b/>
          <w:sz w:val="28"/>
        </w:rPr>
        <w:t>ΔΙΑΧΕΙΡΙΣΗΣ</w:t>
      </w:r>
      <w:r>
        <w:rPr>
          <w:b/>
          <w:spacing w:val="40"/>
          <w:sz w:val="28"/>
        </w:rPr>
        <w:t> </w:t>
      </w:r>
      <w:r>
        <w:rPr>
          <w:b/>
          <w:sz w:val="28"/>
        </w:rPr>
        <w:t>ΣΤΕΡΕΩΝ</w:t>
      </w:r>
      <w:r>
        <w:rPr>
          <w:b/>
          <w:spacing w:val="-11"/>
          <w:sz w:val="28"/>
        </w:rPr>
        <w:t> </w:t>
      </w:r>
      <w:r>
        <w:rPr>
          <w:b/>
          <w:sz w:val="28"/>
        </w:rPr>
        <w:t>ΑΠΟΒΛΗΤΩΝ ΠΕΡΙΦΕΡΕΙΑΣ ΣΤΕΡΕΑΣ ΕΛΛΑΔΑΣ</w:t>
      </w:r>
    </w:p>
    <w:p>
      <w:pPr>
        <w:spacing w:line="341" w:lineRule="exact" w:before="0"/>
        <w:ind w:left="1206" w:right="0" w:firstLine="0"/>
        <w:jc w:val="left"/>
        <w:rPr>
          <w:b/>
          <w:sz w:val="28"/>
        </w:rPr>
      </w:pPr>
      <w:r>
        <w:rPr>
          <w:b/>
          <w:sz w:val="28"/>
        </w:rPr>
        <w:t>ΑΝΩΝΥΜΗ</w:t>
      </w:r>
      <w:r>
        <w:rPr>
          <w:b/>
          <w:spacing w:val="-4"/>
          <w:sz w:val="28"/>
        </w:rPr>
        <w:t> </w:t>
      </w:r>
      <w:r>
        <w:rPr>
          <w:b/>
          <w:sz w:val="28"/>
        </w:rPr>
        <w:t>ΕΤΑΙΡΙΑ</w:t>
      </w:r>
      <w:r>
        <w:rPr>
          <w:b/>
          <w:spacing w:val="-6"/>
          <w:sz w:val="28"/>
        </w:rPr>
        <w:t> </w:t>
      </w:r>
      <w:r>
        <w:rPr>
          <w:b/>
          <w:sz w:val="28"/>
        </w:rPr>
        <w:t>ΤΩΝ</w:t>
      </w:r>
      <w:r>
        <w:rPr>
          <w:b/>
          <w:spacing w:val="-4"/>
          <w:sz w:val="28"/>
        </w:rPr>
        <w:t> </w:t>
      </w:r>
      <w:r>
        <w:rPr>
          <w:b/>
          <w:spacing w:val="-5"/>
          <w:sz w:val="28"/>
        </w:rPr>
        <w:t>ΟΤΑ</w:t>
      </w:r>
    </w:p>
    <w:p>
      <w:pPr>
        <w:spacing w:line="341" w:lineRule="exact" w:before="0"/>
        <w:ind w:left="1226" w:right="0" w:firstLine="0"/>
        <w:jc w:val="left"/>
        <w:rPr>
          <w:b/>
          <w:sz w:val="28"/>
        </w:rPr>
      </w:pPr>
      <w:r>
        <w:rPr>
          <w:b/>
          <w:sz w:val="28"/>
        </w:rPr>
        <w:t>«Φο.Δ.Σ.Α.</w:t>
      </w:r>
      <w:r>
        <w:rPr>
          <w:b/>
          <w:spacing w:val="-7"/>
          <w:sz w:val="28"/>
        </w:rPr>
        <w:t> </w:t>
      </w:r>
      <w:r>
        <w:rPr>
          <w:b/>
          <w:sz w:val="28"/>
        </w:rPr>
        <w:t>Στερεάς</w:t>
      </w:r>
      <w:r>
        <w:rPr>
          <w:b/>
          <w:spacing w:val="-5"/>
          <w:sz w:val="28"/>
        </w:rPr>
        <w:t> </w:t>
      </w:r>
      <w:r>
        <w:rPr>
          <w:b/>
          <w:sz w:val="28"/>
        </w:rPr>
        <w:t>Ελλάδας</w:t>
      </w:r>
      <w:r>
        <w:rPr>
          <w:b/>
          <w:spacing w:val="-5"/>
          <w:sz w:val="28"/>
        </w:rPr>
        <w:t> ΑΕ»</w:t>
      </w:r>
    </w:p>
    <w:p>
      <w:pPr>
        <w:pStyle w:val="BodyText"/>
        <w:spacing w:line="317" w:lineRule="exact" w:before="1"/>
        <w:ind w:left="1247"/>
        <w:jc w:val="left"/>
      </w:pPr>
      <w:r>
        <w:rPr/>
        <w:t>ΑΡ.</w:t>
      </w:r>
      <w:r>
        <w:rPr>
          <w:spacing w:val="-5"/>
        </w:rPr>
        <w:t> </w:t>
      </w:r>
      <w:r>
        <w:rPr>
          <w:spacing w:val="-2"/>
        </w:rPr>
        <w:t>ΓΕΜΗ:134032417000</w:t>
      </w:r>
    </w:p>
    <w:p>
      <w:pPr>
        <w:spacing w:line="268" w:lineRule="exact" w:before="0"/>
        <w:ind w:left="1245" w:right="0" w:firstLine="0"/>
        <w:jc w:val="left"/>
        <w:rPr>
          <w:b/>
          <w:i/>
          <w:sz w:val="22"/>
        </w:rPr>
      </w:pPr>
      <w:hyperlink r:id="rId7">
        <w:r>
          <w:rPr>
            <w:b/>
            <w:i/>
            <w:color w:val="0462C1"/>
            <w:spacing w:val="-2"/>
            <w:sz w:val="22"/>
            <w:u w:val="single" w:color="0462C1"/>
          </w:rPr>
          <w:t>www.fodsaste.gr</w:t>
        </w:r>
      </w:hyperlink>
    </w:p>
    <w:p>
      <w:pPr>
        <w:pStyle w:val="BodyText"/>
        <w:ind w:left="0"/>
        <w:jc w:val="left"/>
        <w:rPr>
          <w:b/>
          <w:i/>
          <w:sz w:val="28"/>
        </w:rPr>
      </w:pPr>
    </w:p>
    <w:p>
      <w:pPr>
        <w:pStyle w:val="BodyText"/>
        <w:spacing w:before="1"/>
        <w:ind w:left="0"/>
        <w:jc w:val="left"/>
        <w:rPr>
          <w:b/>
          <w:i/>
          <w:sz w:val="28"/>
        </w:rPr>
      </w:pPr>
    </w:p>
    <w:p>
      <w:pPr>
        <w:spacing w:before="0"/>
        <w:ind w:left="0" w:right="279" w:firstLine="0"/>
        <w:jc w:val="center"/>
        <w:rPr>
          <w:b/>
          <w:sz w:val="28"/>
        </w:rPr>
      </w:pPr>
      <w:r>
        <w:rPr>
          <w:b/>
          <w:sz w:val="28"/>
          <w:u w:val="single"/>
        </w:rPr>
        <w:t>ΔΕΛΤΙΟ</w:t>
      </w:r>
      <w:r>
        <w:rPr>
          <w:b/>
          <w:spacing w:val="-8"/>
          <w:sz w:val="28"/>
          <w:u w:val="single"/>
        </w:rPr>
        <w:t> </w:t>
      </w:r>
      <w:r>
        <w:rPr>
          <w:b/>
          <w:spacing w:val="-4"/>
          <w:sz w:val="28"/>
          <w:u w:val="single"/>
        </w:rPr>
        <w:t>ΤΥΠΟΥ</w:t>
      </w:r>
    </w:p>
    <w:p>
      <w:pPr>
        <w:spacing w:line="242" w:lineRule="auto" w:before="340"/>
        <w:ind w:left="3837" w:right="1436" w:hanging="2684"/>
        <w:jc w:val="left"/>
        <w:rPr>
          <w:b/>
          <w:sz w:val="28"/>
        </w:rPr>
      </w:pPr>
      <w:r>
        <w:rPr>
          <w:b/>
          <w:sz w:val="28"/>
          <w:u w:val="single"/>
        </w:rPr>
        <w:t>Δράσεις</w:t>
      </w:r>
      <w:r>
        <w:rPr>
          <w:b/>
          <w:spacing w:val="-8"/>
          <w:sz w:val="28"/>
          <w:u w:val="single"/>
        </w:rPr>
        <w:t> </w:t>
      </w:r>
      <w:r>
        <w:rPr>
          <w:b/>
          <w:sz w:val="28"/>
          <w:u w:val="single"/>
        </w:rPr>
        <w:t>Περιβαλλοντικής</w:t>
      </w:r>
      <w:r>
        <w:rPr>
          <w:b/>
          <w:spacing w:val="-8"/>
          <w:sz w:val="28"/>
          <w:u w:val="single"/>
        </w:rPr>
        <w:t> </w:t>
      </w:r>
      <w:r>
        <w:rPr>
          <w:b/>
          <w:sz w:val="28"/>
          <w:u w:val="single"/>
        </w:rPr>
        <w:t>Εκπαίδευσης</w:t>
      </w:r>
      <w:r>
        <w:rPr>
          <w:b/>
          <w:spacing w:val="-8"/>
          <w:sz w:val="28"/>
          <w:u w:val="single"/>
        </w:rPr>
        <w:t> </w:t>
      </w:r>
      <w:r>
        <w:rPr>
          <w:b/>
          <w:sz w:val="28"/>
          <w:u w:val="single"/>
        </w:rPr>
        <w:t>στο</w:t>
      </w:r>
      <w:r>
        <w:rPr>
          <w:b/>
          <w:spacing w:val="-5"/>
          <w:sz w:val="28"/>
          <w:u w:val="single"/>
        </w:rPr>
        <w:t> </w:t>
      </w:r>
      <w:r>
        <w:rPr>
          <w:b/>
          <w:sz w:val="28"/>
          <w:u w:val="single"/>
        </w:rPr>
        <w:t>Γυμνάσιο</w:t>
      </w:r>
      <w:r>
        <w:rPr>
          <w:b/>
          <w:spacing w:val="-8"/>
          <w:sz w:val="28"/>
          <w:u w:val="single"/>
        </w:rPr>
        <w:t> </w:t>
      </w:r>
      <w:r>
        <w:rPr>
          <w:b/>
          <w:sz w:val="28"/>
          <w:u w:val="single"/>
        </w:rPr>
        <w:t>Λιβανατών</w:t>
      </w:r>
      <w:r>
        <w:rPr>
          <w:b/>
          <w:sz w:val="28"/>
        </w:rPr>
        <w:t> </w:t>
      </w:r>
      <w:r>
        <w:rPr>
          <w:b/>
          <w:sz w:val="28"/>
          <w:u w:val="single"/>
        </w:rPr>
        <w:t>του Δήμου Λοκρών</w:t>
      </w:r>
    </w:p>
    <w:p>
      <w:pPr>
        <w:spacing w:before="311"/>
        <w:ind w:left="1" w:right="278" w:firstLine="566"/>
        <w:jc w:val="both"/>
        <w:rPr>
          <w:sz w:val="26"/>
        </w:rPr>
      </w:pPr>
      <w:r>
        <w:rPr>
          <w:sz w:val="26"/>
        </w:rPr>
        <w:t>Την Παρασκευή 4 Απριλίου 2025, οι μαθητές της Α’ &amp; Β’ τάξης του Γυμνασίου Λιβανατών του Δήμου Λοκρών, συμμετείχαν στις περιβαλλοντικές δράσεις </w:t>
      </w:r>
      <w:r>
        <w:rPr>
          <w:i/>
          <w:sz w:val="26"/>
        </w:rPr>
        <w:t>(προβολή βίντεο &amp; παρουσίασης, παιχνίδι κρυμμένου θησαυρού των σκουπιδιών, μπάσκετ με ανακυκλώσιμα υλικά, κ.ά.) </w:t>
      </w:r>
      <w:r>
        <w:rPr>
          <w:sz w:val="26"/>
        </w:rPr>
        <w:t>που πραγματοποιήθηκαν στο σχολείο τους, από εκπροσώπους του Περιφερειακού Φο.Δ.Σ.Α Στερεάς Ελλάδας AE, με στόχο την ενημέρωση- ευαισθητοποίηση των μαθητών και την προώθηση της περιβαλλοντικής εκπαίδευσης.</w:t>
      </w:r>
    </w:p>
    <w:p>
      <w:pPr>
        <w:pStyle w:val="BodyText"/>
        <w:spacing w:before="1"/>
        <w:ind w:right="277" w:firstLine="566"/>
      </w:pPr>
      <w:r>
        <w:rPr/>
        <w:t>Στη δράση παρέστη ο νέος Αντιδήμαρχος Καθαριότητας &amp; Ανακύκλωσης του Δήμου Λοκρών, κ. Μιχάλης Παπανικολάου, η θητεία του οποίου ξεκίνησε την 1</w:t>
      </w:r>
      <w:r>
        <w:rPr>
          <w:vertAlign w:val="superscript"/>
        </w:rPr>
        <w:t>η</w:t>
      </w:r>
      <w:r>
        <w:rPr>
          <w:vertAlign w:val="baseline"/>
        </w:rPr>
        <w:t> Απριλίου 2025. Ο Αντιδήμαρχος μίλησε στους μαθητές και στους καθηγητές του σχολείου για την αξία της ανακύκλωσης στον αγώνα για τη μείωση των απορριμμάτων. Παράλληλα, παρακίνησε τους συμμετέχοντες να αναγνωρίσουν τις λανθασμένες πρακτικές διαχείρισης αποβλήτων που ακολουθούν έως τώρα, κυρίως ως προς τη διαχείριση των ανακυκλώσιμων υλικών και των οργανικών αποβλήτων και να υιοθετήσουν στην καθημερινότητά τους εναλλακτικές συνήθειες φιλικές προς το περιβάλλον.</w:t>
      </w:r>
    </w:p>
    <w:p>
      <w:pPr>
        <w:pStyle w:val="BodyText"/>
        <w:spacing w:before="1"/>
        <w:ind w:right="278" w:firstLine="566"/>
      </w:pPr>
      <w:r>
        <w:rPr/>
        <w:t>Στη συνέχεια, οι μαθητές και οι εκπαιδευτικοί του σχολείου είχαν την ευκαιρία να παρακολουθήσουν μια οργανωμένη παρουσίαση από τους εκπροσώπους του ΦΟΔΣΑ Στερεάς Ελλάδας και βίντεο σχετικά με την προστασία του περιβάλλοντος μέσω της ορθής διαχείρισης των απορριμμάτων, της ανακύκλωσης, της κομποστοποίησης, της επαναχρησιμοποίησης, της διαλογής στην πηγή κ.ά. Παράλληλα, ήρθαν σε επαφή με δύσκολες έννοιες όπως είναι οι Χώροι Ανεξέλεγκτης Διάθεσης Απορριμμάτων (ΧΑΔΑ), οι Χώροι Υγειονομικής Ταφής Αποβλήτων (ΧΥΤΑ) &amp; οι Μονάδες Επεξεργασίας Αποβλήτων </w:t>
      </w:r>
      <w:r>
        <w:rPr>
          <w:spacing w:val="-2"/>
        </w:rPr>
        <w:t>(ΜΕΑ).</w:t>
      </w:r>
    </w:p>
    <w:p>
      <w:pPr>
        <w:pStyle w:val="BodyText"/>
        <w:spacing w:before="1"/>
        <w:ind w:right="287" w:firstLine="566"/>
      </w:pPr>
      <w:r>
        <w:rPr/>
        <w:t>Επίσης, οι μαθητές συμμετείχαν με ιδιαίτερο ενθουσιασμό στο παιχνίδι του </w:t>
      </w:r>
      <w:r>
        <w:rPr>
          <w:i/>
        </w:rPr>
        <w:t>‘’κρυμμένου θησαυρού</w:t>
      </w:r>
      <w:r>
        <w:rPr>
          <w:i/>
          <w:spacing w:val="-2"/>
        </w:rPr>
        <w:t> </w:t>
      </w:r>
      <w:r>
        <w:rPr>
          <w:i/>
        </w:rPr>
        <w:t>των σκουπιδιών’’</w:t>
      </w:r>
      <w:r>
        <w:rPr/>
        <w:t>,</w:t>
      </w:r>
      <w:r>
        <w:rPr>
          <w:spacing w:val="-3"/>
        </w:rPr>
        <w:t> </w:t>
      </w:r>
      <w:r>
        <w:rPr/>
        <w:t>ανακαλύπτοντας</w:t>
      </w:r>
      <w:r>
        <w:rPr>
          <w:spacing w:val="-4"/>
        </w:rPr>
        <w:t> </w:t>
      </w:r>
      <w:r>
        <w:rPr/>
        <w:t>πως</w:t>
      </w:r>
      <w:r>
        <w:rPr>
          <w:spacing w:val="-2"/>
        </w:rPr>
        <w:t> </w:t>
      </w:r>
      <w:r>
        <w:rPr/>
        <w:t>τα ίδια</w:t>
      </w:r>
      <w:r>
        <w:rPr>
          <w:spacing w:val="-3"/>
        </w:rPr>
        <w:t> </w:t>
      </w:r>
      <w:r>
        <w:rPr/>
        <w:t>τα</w:t>
      </w:r>
      <w:r>
        <w:rPr>
          <w:spacing w:val="-1"/>
        </w:rPr>
        <w:t> </w:t>
      </w:r>
      <w:r>
        <w:rPr/>
        <w:t>‘’σκουπίδια’’</w:t>
      </w:r>
      <w:r>
        <w:rPr>
          <w:spacing w:val="-3"/>
        </w:rPr>
        <w:t> </w:t>
      </w:r>
      <w:r>
        <w:rPr/>
        <w:t>είναι ένας ‘’κρυμμένος θησαυρός’’ καθώς με τη σωστή διαχείρισή τους μπορούν να ωφελήσουν τόσο το περιβάλλον όσο και τον ίδιο τον άνθρωπο (υγεία, οικονομία κ.ά.).</w:t>
      </w:r>
    </w:p>
    <w:p>
      <w:pPr>
        <w:pStyle w:val="BodyText"/>
        <w:ind w:right="278" w:firstLine="566"/>
      </w:pPr>
      <w:r>
        <w:rPr/>
        <w:t>Επιπλέον, οι συμμετέχοντες έπαιξαν μπάσκετ με ανακυκλώσιμα υλικά κατανοώντας στην πράξη τη συμβολή της επαναχρησιμοποίησης στην προσπάθεια για την προστασία του περιβάλλοντος αλλά και στην ανάπτυξη δεξιοτήτων, όπως είναι η φαντασία, η δημιουργικότητα κ.ά..</w:t>
      </w:r>
    </w:p>
    <w:p>
      <w:pPr>
        <w:pStyle w:val="BodyText"/>
        <w:spacing w:after="0"/>
        <w:sectPr>
          <w:footerReference w:type="default" r:id="rId5"/>
          <w:type w:val="continuous"/>
          <w:pgSz w:w="11910" w:h="16840"/>
          <w:pgMar w:header="0" w:footer="1000" w:top="1100" w:bottom="1200" w:left="992" w:right="708"/>
          <w:pgNumType w:start="1"/>
        </w:sectPr>
      </w:pPr>
    </w:p>
    <w:p>
      <w:pPr>
        <w:pStyle w:val="BodyText"/>
        <w:spacing w:before="34"/>
        <w:ind w:right="288" w:firstLine="566"/>
      </w:pPr>
      <w:r>
        <w:rPr/>
        <w:t>Οι μαθητές μέσα από τις παραπάνω δράσεις και μέσω του βιωματικού τρόπου που προσφέρει το παιχνίδι, είχαν τη δυνατότητα να έρθουν σε επαφή με διάφορα περιβαλλοντικά προβλήματα που απειλούν τον πλανήτη και με πρακτικές προστασίας του περιβάλλοντος και ορθολογικής διαχείρισης των απορριμμάτων, συνειδητοποιώντας την ατομική τους ευθύνη και προτείνοντας εναλλακτικές λύσεις που θα ωφελούσαν το </w:t>
      </w:r>
      <w:r>
        <w:rPr>
          <w:spacing w:val="-2"/>
        </w:rPr>
        <w:t>περιβάλλον.</w:t>
      </w:r>
    </w:p>
    <w:p>
      <w:pPr>
        <w:pStyle w:val="BodyText"/>
        <w:spacing w:before="1"/>
        <w:ind w:right="283" w:firstLine="566"/>
      </w:pPr>
      <w:r>
        <w:rPr/>
        <w:t>Ο ΦοΔΣΑ Στερεάς Ελλάδας ΑΕ επιβράβευσε την προσπάθεια των μαθητών δωρίζοντάς τους στυλό, τσάντες &amp; καπέλα ενώ παράλληλα διένειμε ενημερωτικό υλικό με πρακτικές συμβουλές για την ανακύκλωση &amp; την κομποστοποίηση ώστε να επιτευχθεί το καλύτερο δυνατό</w:t>
      </w:r>
      <w:r>
        <w:rPr>
          <w:spacing w:val="80"/>
          <w:w w:val="150"/>
        </w:rPr>
        <w:t> </w:t>
      </w:r>
      <w:r>
        <w:rPr/>
        <w:t>αποτέλεσμα</w:t>
      </w:r>
      <w:r>
        <w:rPr>
          <w:spacing w:val="80"/>
          <w:w w:val="150"/>
        </w:rPr>
        <w:t> </w:t>
      </w:r>
      <w:r>
        <w:rPr/>
        <w:t>στον</w:t>
      </w:r>
      <w:r>
        <w:rPr>
          <w:spacing w:val="80"/>
          <w:w w:val="150"/>
        </w:rPr>
        <w:t> </w:t>
      </w:r>
      <w:r>
        <w:rPr/>
        <w:t>αγώνα</w:t>
      </w:r>
      <w:r>
        <w:rPr>
          <w:spacing w:val="80"/>
          <w:w w:val="150"/>
        </w:rPr>
        <w:t> </w:t>
      </w:r>
      <w:r>
        <w:rPr/>
        <w:t>για</w:t>
      </w:r>
      <w:r>
        <w:rPr>
          <w:spacing w:val="80"/>
          <w:w w:val="150"/>
        </w:rPr>
        <w:t> </w:t>
      </w:r>
      <w:r>
        <w:rPr/>
        <w:t>την</w:t>
      </w:r>
      <w:r>
        <w:rPr>
          <w:spacing w:val="80"/>
          <w:w w:val="150"/>
        </w:rPr>
        <w:t> </w:t>
      </w:r>
      <w:r>
        <w:rPr/>
        <w:t>προστασία</w:t>
      </w:r>
      <w:r>
        <w:rPr>
          <w:spacing w:val="80"/>
          <w:w w:val="150"/>
        </w:rPr>
        <w:t> </w:t>
      </w:r>
      <w:r>
        <w:rPr/>
        <w:t>του</w:t>
      </w:r>
      <w:r>
        <w:rPr>
          <w:spacing w:val="80"/>
          <w:w w:val="150"/>
        </w:rPr>
        <w:t> </w:t>
      </w:r>
      <w:r>
        <w:rPr/>
        <w:t>περιβάλλοντος</w:t>
      </w:r>
      <w:r>
        <w:rPr>
          <w:spacing w:val="80"/>
          <w:w w:val="150"/>
        </w:rPr>
        <w:t> </w:t>
      </w:r>
      <w:r>
        <w:rPr/>
        <w:t>από</w:t>
      </w:r>
      <w:r>
        <w:rPr>
          <w:spacing w:val="80"/>
          <w:w w:val="150"/>
        </w:rPr>
        <w:t> </w:t>
      </w:r>
      <w:r>
        <w:rPr/>
        <w:t>τους</w:t>
      </w:r>
    </w:p>
    <w:p>
      <w:pPr>
        <w:pStyle w:val="BodyText"/>
        <w:spacing w:before="1"/>
        <w:ind w:right="286"/>
      </w:pPr>
      <w:r>
        <w:rPr/>
        <w:t>«μελλοντικούς πολίτες» που είναι οι μαθητές. Βασικός στόχος είναι η συνάντηση αυτή να αποτελέσει το έναυσμα ώστε οι μαθητές να συνειδητοποιήσουν την περιβαλλοντική τους ευθύνη</w:t>
      </w:r>
      <w:r>
        <w:rPr>
          <w:spacing w:val="-2"/>
        </w:rPr>
        <w:t> </w:t>
      </w:r>
      <w:r>
        <w:rPr/>
        <w:t>προχωρώντας σε</w:t>
      </w:r>
      <w:r>
        <w:rPr>
          <w:spacing w:val="-1"/>
        </w:rPr>
        <w:t> </w:t>
      </w:r>
      <w:r>
        <w:rPr/>
        <w:t>καθημερινές</w:t>
      </w:r>
      <w:r>
        <w:rPr>
          <w:spacing w:val="-4"/>
        </w:rPr>
        <w:t> </w:t>
      </w:r>
      <w:r>
        <w:rPr/>
        <w:t>δράσεις</w:t>
      </w:r>
      <w:r>
        <w:rPr>
          <w:spacing w:val="-4"/>
        </w:rPr>
        <w:t> </w:t>
      </w:r>
      <w:r>
        <w:rPr/>
        <w:t>και</w:t>
      </w:r>
      <w:r>
        <w:rPr>
          <w:spacing w:val="-2"/>
        </w:rPr>
        <w:t> </w:t>
      </w:r>
      <w:r>
        <w:rPr/>
        <w:t>πρακτικές</w:t>
      </w:r>
      <w:r>
        <w:rPr>
          <w:spacing w:val="-1"/>
        </w:rPr>
        <w:t> </w:t>
      </w:r>
      <w:r>
        <w:rPr/>
        <w:t>φιλικές</w:t>
      </w:r>
      <w:r>
        <w:rPr>
          <w:spacing w:val="-4"/>
        </w:rPr>
        <w:t> </w:t>
      </w:r>
      <w:r>
        <w:rPr/>
        <w:t>προς</w:t>
      </w:r>
      <w:r>
        <w:rPr>
          <w:spacing w:val="-1"/>
        </w:rPr>
        <w:t> </w:t>
      </w:r>
      <w:r>
        <w:rPr/>
        <w:t>το</w:t>
      </w:r>
      <w:r>
        <w:rPr>
          <w:spacing w:val="-2"/>
        </w:rPr>
        <w:t> </w:t>
      </w:r>
      <w:r>
        <w:rPr/>
        <w:t>περιβάλλον και να μεταδώσουν στους οικείους τους τα οφέλη της ανακύκλωσης (συσκευασιών, τροφίμων, λαμπτήρων, ηλεκτρικών συσκευών, ρούχων κ.ά.) εξασφαλίζοντας με τον τρόπο αυτόν την εξοικονόμηση μη ανανεώσιμων πρώτων υλών, φυσικών πόρων και ενέργειας.</w:t>
      </w:r>
    </w:p>
    <w:p>
      <w:pPr>
        <w:pStyle w:val="BodyText"/>
        <w:ind w:right="277" w:firstLine="566"/>
      </w:pPr>
      <w:r>
        <w:rPr/>
        <w:t>Ο ΦοΔΣΑ Στερεάς Ελλάδας ΑΕ θα συνεχίσει να ενισχύει τις πρωτοβουλίες για περιβαλλοντικές δράσεις με στόχο την ενημέρωση – ευαισθητοποίηση των</w:t>
      </w:r>
      <w:r>
        <w:rPr>
          <w:spacing w:val="40"/>
        </w:rPr>
        <w:t> </w:t>
      </w:r>
      <w:r>
        <w:rPr/>
        <w:t>πολιτών, και ιδιαίτερα των μαθητών, σε θέματα προστασίας του περιβάλλοντος και ολοκληρωμένης διαχείρισης των απορριμμάτων.</w:t>
      </w:r>
    </w:p>
    <w:p>
      <w:pPr>
        <w:pStyle w:val="BodyText"/>
        <w:ind w:left="568"/>
      </w:pPr>
      <w:r>
        <w:rPr>
          <w:spacing w:val="-2"/>
        </w:rPr>
        <w:t>Ακολουθεί</w:t>
      </w:r>
      <w:r>
        <w:rPr>
          <w:spacing w:val="5"/>
        </w:rPr>
        <w:t> </w:t>
      </w:r>
      <w:r>
        <w:rPr>
          <w:spacing w:val="-2"/>
        </w:rPr>
        <w:t>φωτογραφικό</w:t>
      </w:r>
      <w:r>
        <w:rPr>
          <w:spacing w:val="2"/>
        </w:rPr>
        <w:t> </w:t>
      </w:r>
      <w:r>
        <w:rPr>
          <w:spacing w:val="-2"/>
        </w:rPr>
        <w:t>υλικό.</w:t>
      </w:r>
    </w:p>
    <w:p>
      <w:pPr>
        <w:pStyle w:val="BodyText"/>
        <w:spacing w:after="0"/>
        <w:sectPr>
          <w:pgSz w:w="11910" w:h="16840"/>
          <w:pgMar w:header="0" w:footer="1000" w:top="1080" w:bottom="1200" w:left="992" w:right="708"/>
        </w:sectPr>
      </w:pPr>
    </w:p>
    <w:p>
      <w:pPr>
        <w:pStyle w:val="BodyText"/>
        <w:ind w:left="2"/>
        <w:jc w:val="left"/>
        <w:rPr>
          <w:sz w:val="20"/>
        </w:rPr>
      </w:pPr>
      <w:r>
        <w:rPr>
          <w:sz w:val="20"/>
        </w:rPr>
        <w:drawing>
          <wp:inline distT="0" distB="0" distL="0" distR="0">
            <wp:extent cx="6327198" cy="8973312"/>
            <wp:effectExtent l="0" t="0" r="0" b="0"/>
            <wp:docPr id="3" name="Image 3"/>
            <wp:cNvGraphicFramePr>
              <a:graphicFrameLocks/>
            </wp:cNvGraphicFramePr>
            <a:graphic>
              <a:graphicData uri="http://schemas.openxmlformats.org/drawingml/2006/picture">
                <pic:pic>
                  <pic:nvPicPr>
                    <pic:cNvPr id="3" name="Image 3"/>
                    <pic:cNvPicPr/>
                  </pic:nvPicPr>
                  <pic:blipFill>
                    <a:blip r:embed="rId8" cstate="print"/>
                    <a:stretch>
                      <a:fillRect/>
                    </a:stretch>
                  </pic:blipFill>
                  <pic:spPr>
                    <a:xfrm>
                      <a:off x="0" y="0"/>
                      <a:ext cx="6327198" cy="8973312"/>
                    </a:xfrm>
                    <a:prstGeom prst="rect">
                      <a:avLst/>
                    </a:prstGeom>
                  </pic:spPr>
                </pic:pic>
              </a:graphicData>
            </a:graphic>
          </wp:inline>
        </w:drawing>
      </w:r>
      <w:r>
        <w:rPr>
          <w:sz w:val="20"/>
        </w:rPr>
      </w:r>
    </w:p>
    <w:p>
      <w:pPr>
        <w:pStyle w:val="BodyText"/>
        <w:spacing w:after="0"/>
        <w:jc w:val="left"/>
        <w:rPr>
          <w:sz w:val="20"/>
        </w:rPr>
        <w:sectPr>
          <w:pgSz w:w="11910" w:h="16840"/>
          <w:pgMar w:header="0" w:footer="1000" w:top="1120" w:bottom="1200" w:left="992" w:right="708"/>
        </w:sectPr>
      </w:pPr>
    </w:p>
    <w:p>
      <w:pPr>
        <w:pStyle w:val="BodyText"/>
        <w:ind w:left="2"/>
        <w:jc w:val="left"/>
        <w:rPr>
          <w:sz w:val="20"/>
        </w:rPr>
      </w:pPr>
      <w:r>
        <w:rPr>
          <w:sz w:val="20"/>
        </w:rPr>
        <w:drawing>
          <wp:inline distT="0" distB="0" distL="0" distR="0">
            <wp:extent cx="6440308" cy="8778240"/>
            <wp:effectExtent l="0" t="0" r="0" b="0"/>
            <wp:docPr id="4" name="Image 4"/>
            <wp:cNvGraphicFramePr>
              <a:graphicFrameLocks/>
            </wp:cNvGraphicFramePr>
            <a:graphic>
              <a:graphicData uri="http://schemas.openxmlformats.org/drawingml/2006/picture">
                <pic:pic>
                  <pic:nvPicPr>
                    <pic:cNvPr id="4" name="Image 4"/>
                    <pic:cNvPicPr/>
                  </pic:nvPicPr>
                  <pic:blipFill>
                    <a:blip r:embed="rId9" cstate="print"/>
                    <a:stretch>
                      <a:fillRect/>
                    </a:stretch>
                  </pic:blipFill>
                  <pic:spPr>
                    <a:xfrm>
                      <a:off x="0" y="0"/>
                      <a:ext cx="6440308" cy="8778240"/>
                    </a:xfrm>
                    <a:prstGeom prst="rect">
                      <a:avLst/>
                    </a:prstGeom>
                  </pic:spPr>
                </pic:pic>
              </a:graphicData>
            </a:graphic>
          </wp:inline>
        </w:drawing>
      </w:r>
      <w:r>
        <w:rPr>
          <w:sz w:val="20"/>
        </w:rPr>
      </w:r>
    </w:p>
    <w:p>
      <w:pPr>
        <w:pStyle w:val="BodyText"/>
        <w:spacing w:before="308"/>
        <w:jc w:val="left"/>
      </w:pPr>
      <w:r>
        <w:rPr/>
        <w:t>Θήβα:</w:t>
      </w:r>
      <w:r>
        <w:rPr>
          <w:spacing w:val="-10"/>
        </w:rPr>
        <w:t> </w:t>
      </w:r>
      <w:r>
        <w:rPr>
          <w:spacing w:val="-2"/>
        </w:rPr>
        <w:t>7/4/2025</w:t>
      </w:r>
    </w:p>
    <w:sectPr>
      <w:pgSz w:w="11910" w:h="16840"/>
      <w:pgMar w:header="0" w:footer="1000" w:top="1120" w:bottom="1200" w:left="992" w:right="708"/>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Calibri">
    <w:altName w:val="Calibri"/>
    <w:charset w:val="1"/>
    <w:family w:val="roman"/>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jc w:val="left"/>
      <w:rPr>
        <w:sz w:val="20"/>
      </w:rPr>
    </w:pPr>
    <w:r>
      <w:rPr>
        <w:sz w:val="20"/>
      </w:rPr>
      <mc:AlternateContent>
        <mc:Choice Requires="wps">
          <w:drawing>
            <wp:anchor distT="0" distB="0" distL="0" distR="0" allowOverlap="1" layoutInCell="1" locked="0" behindDoc="1" simplePos="0" relativeHeight="487553024">
              <wp:simplePos x="0" y="0"/>
              <wp:positionH relativeFrom="page">
                <wp:posOffset>6824471</wp:posOffset>
              </wp:positionH>
              <wp:positionV relativeFrom="page">
                <wp:posOffset>9917683</wp:posOffset>
              </wp:positionV>
              <wp:extent cx="160020" cy="16573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160020" cy="165735"/>
                      </a:xfrm>
                      <a:prstGeom prst="rect">
                        <a:avLst/>
                      </a:prstGeom>
                    </wps:spPr>
                    <wps:txbx>
                      <w:txbxContent>
                        <w:p>
                          <w:pPr>
                            <w:spacing w:line="245" w:lineRule="exact" w:before="0"/>
                            <w:ind w:left="60" w:right="0" w:firstLine="0"/>
                            <w:jc w:val="left"/>
                            <w:rPr>
                              <w:sz w:val="22"/>
                            </w:rPr>
                          </w:pPr>
                          <w:r>
                            <w:rPr>
                              <w:spacing w:val="-10"/>
                              <w:sz w:val="22"/>
                            </w:rPr>
                            <w:fldChar w:fldCharType="begin"/>
                          </w:r>
                          <w:r>
                            <w:rPr>
                              <w:spacing w:val="-10"/>
                              <w:sz w:val="22"/>
                            </w:rPr>
                            <w:instrText> PAGE </w:instrText>
                          </w:r>
                          <w:r>
                            <w:rPr>
                              <w:spacing w:val="-10"/>
                              <w:sz w:val="22"/>
                            </w:rPr>
                            <w:fldChar w:fldCharType="separate"/>
                          </w:r>
                          <w:r>
                            <w:rPr>
                              <w:spacing w:val="-10"/>
                              <w:sz w:val="22"/>
                            </w:rPr>
                            <w:t>1</w:t>
                          </w:r>
                          <w:r>
                            <w:rPr>
                              <w:spacing w:val="-10"/>
                              <w:sz w:val="22"/>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537.359985pt;margin-top:780.919983pt;width:12.6pt;height:13.05pt;mso-position-horizontal-relative:page;mso-position-vertical-relative:page;z-index:-15763456" type="#_x0000_t202" id="docshape1" filled="false" stroked="false">
              <v:textbox inset="0,0,0,0">
                <w:txbxContent>
                  <w:p>
                    <w:pPr>
                      <w:spacing w:line="245" w:lineRule="exact" w:before="0"/>
                      <w:ind w:left="60" w:right="0" w:firstLine="0"/>
                      <w:jc w:val="left"/>
                      <w:rPr>
                        <w:sz w:val="22"/>
                      </w:rPr>
                    </w:pPr>
                    <w:r>
                      <w:rPr>
                        <w:spacing w:val="-10"/>
                        <w:sz w:val="22"/>
                      </w:rPr>
                      <w:fldChar w:fldCharType="begin"/>
                    </w:r>
                    <w:r>
                      <w:rPr>
                        <w:spacing w:val="-10"/>
                        <w:sz w:val="22"/>
                      </w:rPr>
                      <w:instrText> PAGE </w:instrText>
                    </w:r>
                    <w:r>
                      <w:rPr>
                        <w:spacing w:val="-10"/>
                        <w:sz w:val="22"/>
                      </w:rPr>
                      <w:fldChar w:fldCharType="separate"/>
                    </w:r>
                    <w:r>
                      <w:rPr>
                        <w:spacing w:val="-10"/>
                        <w:sz w:val="22"/>
                      </w:rPr>
                      <w:t>1</w:t>
                    </w:r>
                    <w:r>
                      <w:rPr>
                        <w:spacing w:val="-10"/>
                        <w:sz w:val="22"/>
                      </w:rPr>
                      <w:fldChar w:fldCharType="end"/>
                    </w:r>
                  </w:p>
                </w:txbxContent>
              </v:textbox>
              <w10:wrap type="none"/>
            </v:shape>
          </w:pict>
        </mc:Fallback>
      </mc:AlternateContent>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l-GR" w:eastAsia="en-US" w:bidi="ar-SA"/>
    </w:rPr>
  </w:style>
  <w:style w:styleId="BodyText" w:type="paragraph">
    <w:name w:val="Body Text"/>
    <w:basedOn w:val="Normal"/>
    <w:uiPriority w:val="1"/>
    <w:qFormat/>
    <w:pPr>
      <w:ind w:left="1"/>
      <w:jc w:val="both"/>
    </w:pPr>
    <w:rPr>
      <w:rFonts w:ascii="Calibri" w:hAnsi="Calibri" w:eastAsia="Calibri" w:cs="Calibri"/>
      <w:sz w:val="26"/>
      <w:szCs w:val="26"/>
      <w:lang w:val="el-GR" w:eastAsia="en-US" w:bidi="ar-SA"/>
    </w:rPr>
  </w:style>
  <w:style w:styleId="ListParagraph" w:type="paragraph">
    <w:name w:val="List Paragraph"/>
    <w:basedOn w:val="Normal"/>
    <w:uiPriority w:val="1"/>
    <w:qFormat/>
    <w:pPr/>
    <w:rPr>
      <w:lang w:val="el-GR" w:eastAsia="en-US" w:bidi="ar-SA"/>
    </w:rPr>
  </w:style>
  <w:style w:styleId="TableParagraph" w:type="paragraph">
    <w:name w:val="Table Paragraph"/>
    <w:basedOn w:val="Normal"/>
    <w:uiPriority w:val="1"/>
    <w:qFormat/>
    <w:pPr/>
    <w:rPr>
      <w:lang w:val="el-GR"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jpeg"/><Relationship Id="rId7" Type="http://schemas.openxmlformats.org/officeDocument/2006/relationships/hyperlink" Target="http://www.fodsaste.gr/" TargetMode="External"/><Relationship Id="rId8" Type="http://schemas.openxmlformats.org/officeDocument/2006/relationships/image" Target="media/image2.jpeg"/><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ΔΕΠΟΔΑΘ ΔΕΠΟΔΑΘ ΑΕ</dc:creator>
  <dc:title>ΔΤ 31 07-04-2025 Περιβ δράσεις Γυμνάσιο Λιβανατών ΔΛοκρών</dc:title>
  <dcterms:created xsi:type="dcterms:W3CDTF">2025-04-07T12:40:39Z</dcterms:created>
  <dcterms:modified xsi:type="dcterms:W3CDTF">2025-04-07T12:40:39Z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2025-04-07T00:00:00Z</vt:filetime>
  </property>
  <property fmtid="{D5CDD505-2E9C-101B-9397-08002B2CF9AE}" pid="3" name="Creator">
    <vt:lpwstr>Microsoft® Word για το Microsoft 365</vt:lpwstr>
  </property>
  <property fmtid="{D5CDD505-2E9C-101B-9397-08002B2CF9AE}" pid="4" name="LastSaved">
    <vt:filetime>2025-04-07T00:00:00Z</vt:filetime>
  </property>
  <property fmtid="{D5CDD505-2E9C-101B-9397-08002B2CF9AE}" pid="5" name="Producer">
    <vt:lpwstr>Microsoft® Word για το Microsoft 365</vt:lpwstr>
  </property>
</Properties>
</file>